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ED277" w14:textId="77777777" w:rsidR="003139DA" w:rsidRPr="001D4FE7" w:rsidRDefault="003139DA" w:rsidP="003139DA">
      <w:pPr>
        <w:spacing w:after="0"/>
        <w:ind w:left="-450" w:right="-540"/>
        <w:jc w:val="center"/>
        <w:rPr>
          <w:b/>
          <w:bCs/>
          <w:color w:val="000000"/>
          <w:sz w:val="44"/>
          <w:szCs w:val="44"/>
        </w:rPr>
      </w:pPr>
      <w:r w:rsidRPr="001D4FE7">
        <w:rPr>
          <w:b/>
          <w:bCs/>
          <w:color w:val="000000"/>
          <w:sz w:val="44"/>
          <w:szCs w:val="44"/>
        </w:rPr>
        <w:t xml:space="preserve">Specific Procurement Notice </w:t>
      </w:r>
    </w:p>
    <w:p w14:paraId="696CE8BC" w14:textId="77777777" w:rsidR="003139DA" w:rsidRPr="00BE7F56" w:rsidRDefault="003139DA" w:rsidP="003139DA">
      <w:pPr>
        <w:spacing w:after="0"/>
        <w:jc w:val="center"/>
        <w:rPr>
          <w:b/>
          <w:bCs/>
          <w:color w:val="000000"/>
          <w:sz w:val="32"/>
          <w:u w:val="single"/>
        </w:rPr>
      </w:pPr>
    </w:p>
    <w:p w14:paraId="12295568" w14:textId="77777777" w:rsidR="003139DA" w:rsidRPr="001D4FE7" w:rsidRDefault="003139DA" w:rsidP="003139DA">
      <w:pPr>
        <w:spacing w:after="0"/>
        <w:jc w:val="center"/>
        <w:rPr>
          <w:b/>
          <w:bCs/>
          <w:color w:val="000000"/>
          <w:sz w:val="40"/>
          <w:szCs w:val="40"/>
        </w:rPr>
      </w:pPr>
      <w:r w:rsidRPr="001D4FE7">
        <w:rPr>
          <w:b/>
          <w:bCs/>
          <w:color w:val="000000"/>
          <w:sz w:val="40"/>
          <w:szCs w:val="40"/>
        </w:rPr>
        <w:t>Request for Proposal</w:t>
      </w:r>
    </w:p>
    <w:p w14:paraId="56BE39D7" w14:textId="77777777" w:rsidR="003139DA" w:rsidRPr="001D4FE7" w:rsidRDefault="003139DA" w:rsidP="003139DA">
      <w:pPr>
        <w:spacing w:after="0"/>
        <w:jc w:val="center"/>
        <w:rPr>
          <w:b/>
          <w:bCs/>
          <w:color w:val="000000"/>
          <w:sz w:val="40"/>
          <w:szCs w:val="40"/>
        </w:rPr>
      </w:pPr>
      <w:r w:rsidRPr="001D4FE7">
        <w:rPr>
          <w:b/>
          <w:bCs/>
          <w:color w:val="000000"/>
          <w:sz w:val="40"/>
          <w:szCs w:val="40"/>
        </w:rPr>
        <w:t>Information Systems</w:t>
      </w:r>
    </w:p>
    <w:p w14:paraId="5ABDDCBF" w14:textId="77777777" w:rsidR="003139DA" w:rsidRPr="001D0242" w:rsidRDefault="003139DA" w:rsidP="003139DA">
      <w:pPr>
        <w:spacing w:after="0"/>
        <w:jc w:val="center"/>
        <w:rPr>
          <w:b/>
          <w:bCs/>
          <w:color w:val="000000"/>
          <w:sz w:val="40"/>
          <w:szCs w:val="40"/>
        </w:rPr>
      </w:pPr>
      <w:r w:rsidRPr="001D0242">
        <w:rPr>
          <w:b/>
          <w:bCs/>
          <w:color w:val="000000"/>
          <w:sz w:val="40"/>
          <w:szCs w:val="40"/>
        </w:rPr>
        <w:t xml:space="preserve">(Design, </w:t>
      </w:r>
      <w:proofErr w:type="gramStart"/>
      <w:r w:rsidRPr="001D0242">
        <w:rPr>
          <w:b/>
          <w:bCs/>
          <w:color w:val="000000"/>
          <w:sz w:val="40"/>
          <w:szCs w:val="40"/>
        </w:rPr>
        <w:t>Supply</w:t>
      </w:r>
      <w:proofErr w:type="gramEnd"/>
      <w:r w:rsidRPr="001D0242">
        <w:rPr>
          <w:b/>
          <w:bCs/>
          <w:color w:val="000000"/>
          <w:sz w:val="40"/>
          <w:szCs w:val="40"/>
        </w:rPr>
        <w:t xml:space="preserve"> and Installation)</w:t>
      </w:r>
    </w:p>
    <w:p w14:paraId="40CA7DF4" w14:textId="77777777" w:rsidR="003139DA" w:rsidRPr="00BE7F56" w:rsidRDefault="003139DA" w:rsidP="003139DA">
      <w:pPr>
        <w:spacing w:after="0"/>
        <w:jc w:val="center"/>
        <w:rPr>
          <w:b/>
          <w:bCs/>
          <w:color w:val="000000"/>
          <w:sz w:val="28"/>
          <w:szCs w:val="28"/>
        </w:rPr>
      </w:pPr>
      <w:r w:rsidRPr="00BE7F56">
        <w:rPr>
          <w:b/>
          <w:bCs/>
          <w:color w:val="000000"/>
          <w:sz w:val="28"/>
          <w:szCs w:val="28"/>
        </w:rPr>
        <w:t>(Without Prequalification)</w:t>
      </w:r>
    </w:p>
    <w:p w14:paraId="334EC911" w14:textId="77777777" w:rsidR="003139DA" w:rsidRPr="00BE7F56" w:rsidRDefault="003139DA" w:rsidP="003139DA">
      <w:pPr>
        <w:rPr>
          <w:b/>
          <w:bCs/>
          <w:color w:val="000000"/>
          <w:sz w:val="28"/>
          <w:szCs w:val="28"/>
        </w:rPr>
      </w:pPr>
    </w:p>
    <w:p w14:paraId="70845954" w14:textId="77777777" w:rsidR="003139DA" w:rsidRPr="00BE7F56" w:rsidRDefault="003139DA" w:rsidP="003139DA">
      <w:pPr>
        <w:spacing w:before="60" w:after="60"/>
        <w:rPr>
          <w:i/>
          <w:color w:val="000000" w:themeColor="text1"/>
        </w:rPr>
      </w:pPr>
      <w:r w:rsidRPr="00FB61CF">
        <w:rPr>
          <w:iCs/>
          <w:color w:val="000000" w:themeColor="text1"/>
        </w:rPr>
        <w:t>Purchaser</w:t>
      </w:r>
      <w:r w:rsidRPr="005D63C8">
        <w:rPr>
          <w:b/>
          <w:color w:val="000000" w:themeColor="text1"/>
        </w:rPr>
        <w:t xml:space="preserve">: </w:t>
      </w:r>
      <w:r>
        <w:rPr>
          <w:b/>
          <w:color w:val="000000" w:themeColor="text1"/>
        </w:rPr>
        <w:tab/>
      </w:r>
      <w:r>
        <w:rPr>
          <w:b/>
          <w:color w:val="000000" w:themeColor="text1"/>
        </w:rPr>
        <w:tab/>
      </w:r>
      <w:r w:rsidRPr="00FB61CF">
        <w:rPr>
          <w:i/>
          <w:color w:val="000000" w:themeColor="text1"/>
        </w:rPr>
        <w:t>Ministry of Economy,</w:t>
      </w:r>
      <w:r>
        <w:rPr>
          <w:i/>
          <w:color w:val="000000" w:themeColor="text1"/>
        </w:rPr>
        <w:t xml:space="preserve"> </w:t>
      </w:r>
      <w:proofErr w:type="gramStart"/>
      <w:r w:rsidRPr="00FB61CF">
        <w:rPr>
          <w:i/>
          <w:color w:val="000000" w:themeColor="text1"/>
        </w:rPr>
        <w:t>Culture</w:t>
      </w:r>
      <w:proofErr w:type="gramEnd"/>
      <w:r w:rsidRPr="00FB61CF">
        <w:rPr>
          <w:i/>
          <w:color w:val="000000" w:themeColor="text1"/>
        </w:rPr>
        <w:t xml:space="preserve"> and Innovation</w:t>
      </w:r>
    </w:p>
    <w:p w14:paraId="2063E8A6" w14:textId="77777777" w:rsidR="003139DA" w:rsidRPr="00BE7F56" w:rsidRDefault="003139DA" w:rsidP="003139DA">
      <w:pPr>
        <w:spacing w:before="60" w:after="60"/>
        <w:rPr>
          <w:bCs/>
          <w:i/>
          <w:iCs/>
          <w:color w:val="000000" w:themeColor="text1"/>
        </w:rPr>
      </w:pPr>
      <w:r w:rsidRPr="00545032">
        <w:rPr>
          <w:color w:val="000000" w:themeColor="text1"/>
        </w:rPr>
        <w:t>Project</w:t>
      </w:r>
      <w:r w:rsidRPr="00BE7F56">
        <w:rPr>
          <w:b/>
          <w:color w:val="000000" w:themeColor="text1"/>
        </w:rPr>
        <w:t>:</w:t>
      </w:r>
      <w:r>
        <w:rPr>
          <w:b/>
          <w:color w:val="000000" w:themeColor="text1"/>
        </w:rPr>
        <w:t xml:space="preserve">            </w:t>
      </w:r>
      <w:r w:rsidRPr="00BE7F56">
        <w:rPr>
          <w:b/>
          <w:bCs/>
          <w:i/>
          <w:iCs/>
          <w:color w:val="000000" w:themeColor="text1"/>
        </w:rPr>
        <w:t xml:space="preserve"> </w:t>
      </w:r>
      <w:r>
        <w:rPr>
          <w:b/>
          <w:bCs/>
          <w:i/>
          <w:iCs/>
          <w:color w:val="000000" w:themeColor="text1"/>
        </w:rPr>
        <w:tab/>
      </w:r>
      <w:r w:rsidRPr="00BF50C0">
        <w:rPr>
          <w:i/>
          <w:color w:val="000000" w:themeColor="text1"/>
        </w:rPr>
        <w:t>Western Balkans Trade and Transport Facilitation Project - Albania</w:t>
      </w:r>
    </w:p>
    <w:p w14:paraId="33E0E8F8" w14:textId="77777777" w:rsidR="003139DA" w:rsidRPr="00BF50C0" w:rsidRDefault="003139DA" w:rsidP="003139DA">
      <w:pPr>
        <w:tabs>
          <w:tab w:val="left" w:pos="90"/>
          <w:tab w:val="left" w:pos="720"/>
        </w:tabs>
        <w:suppressAutoHyphens w:val="0"/>
        <w:spacing w:after="0"/>
        <w:ind w:left="2160" w:hanging="2160"/>
        <w:rPr>
          <w:b/>
          <w:sz w:val="56"/>
        </w:rPr>
      </w:pPr>
      <w:r w:rsidRPr="00545032">
        <w:rPr>
          <w:iCs/>
          <w:color w:val="000000" w:themeColor="text1"/>
        </w:rPr>
        <w:t>Contract title</w:t>
      </w:r>
      <w:r w:rsidRPr="00BE7F56">
        <w:rPr>
          <w:b/>
          <w:color w:val="000000" w:themeColor="text1"/>
        </w:rPr>
        <w:t xml:space="preserve">: </w:t>
      </w:r>
      <w:r>
        <w:rPr>
          <w:b/>
          <w:color w:val="000000" w:themeColor="text1"/>
        </w:rPr>
        <w:tab/>
      </w:r>
      <w:r w:rsidRPr="00BF50C0">
        <w:rPr>
          <w:i/>
          <w:color w:val="000000" w:themeColor="text1"/>
        </w:rPr>
        <w:t>Turnkey Solution of the Implementation National Single Window (NSW)</w:t>
      </w:r>
      <w:r>
        <w:rPr>
          <w:i/>
          <w:color w:val="000000" w:themeColor="text1"/>
        </w:rPr>
        <w:t xml:space="preserve"> </w:t>
      </w:r>
      <w:r w:rsidRPr="00BF50C0">
        <w:rPr>
          <w:i/>
          <w:color w:val="000000" w:themeColor="text1"/>
        </w:rPr>
        <w:t>Blueprint Contract</w:t>
      </w:r>
      <w:r w:rsidRPr="002A05EE">
        <w:rPr>
          <w:b/>
          <w:sz w:val="40"/>
          <w:szCs w:val="48"/>
        </w:rPr>
        <w:t xml:space="preserve"> </w:t>
      </w:r>
    </w:p>
    <w:p w14:paraId="56564291" w14:textId="77777777" w:rsidR="003139DA" w:rsidRPr="00BE7F56" w:rsidRDefault="003139DA" w:rsidP="003139DA">
      <w:pPr>
        <w:spacing w:before="60" w:after="60"/>
        <w:ind w:right="-540"/>
        <w:rPr>
          <w:i/>
          <w:color w:val="000000" w:themeColor="text1"/>
        </w:rPr>
      </w:pPr>
      <w:r w:rsidRPr="00545032">
        <w:rPr>
          <w:color w:val="000000" w:themeColor="text1"/>
        </w:rPr>
        <w:t>Country</w:t>
      </w:r>
      <w:r w:rsidRPr="00BE7F56">
        <w:rPr>
          <w:b/>
          <w:color w:val="000000" w:themeColor="text1"/>
        </w:rPr>
        <w:t xml:space="preserve">: </w:t>
      </w:r>
      <w:r>
        <w:rPr>
          <w:b/>
          <w:color w:val="000000" w:themeColor="text1"/>
        </w:rPr>
        <w:tab/>
      </w:r>
      <w:r>
        <w:rPr>
          <w:b/>
          <w:color w:val="000000" w:themeColor="text1"/>
        </w:rPr>
        <w:tab/>
      </w:r>
      <w:r w:rsidRPr="00BF50C0">
        <w:rPr>
          <w:i/>
          <w:color w:val="000000" w:themeColor="text1"/>
        </w:rPr>
        <w:t>Republic of Albania</w:t>
      </w:r>
    </w:p>
    <w:p w14:paraId="464491A9" w14:textId="77777777" w:rsidR="003139DA" w:rsidRPr="00BE7F56" w:rsidRDefault="003139DA" w:rsidP="003139DA">
      <w:pPr>
        <w:spacing w:before="60" w:after="60"/>
        <w:rPr>
          <w:i/>
          <w:color w:val="000000" w:themeColor="text1"/>
        </w:rPr>
      </w:pPr>
      <w:r w:rsidRPr="00545032">
        <w:rPr>
          <w:noProof/>
          <w:color w:val="000000" w:themeColor="text1"/>
        </w:rPr>
        <w:t xml:space="preserve">Loan No. </w:t>
      </w:r>
      <w:r w:rsidRPr="00BE7F56">
        <w:rPr>
          <w:i/>
          <w:color w:val="000000" w:themeColor="text1"/>
        </w:rPr>
        <w:t xml:space="preserve"> </w:t>
      </w:r>
      <w:r>
        <w:rPr>
          <w:i/>
          <w:color w:val="000000" w:themeColor="text1"/>
        </w:rPr>
        <w:tab/>
      </w:r>
      <w:r>
        <w:rPr>
          <w:i/>
          <w:color w:val="000000" w:themeColor="text1"/>
        </w:rPr>
        <w:tab/>
      </w:r>
      <w:r w:rsidRPr="00BF50C0">
        <w:rPr>
          <w:i/>
          <w:color w:val="000000" w:themeColor="text1"/>
        </w:rPr>
        <w:t>IBRD 8933</w:t>
      </w:r>
      <w:r>
        <w:rPr>
          <w:i/>
          <w:color w:val="000000" w:themeColor="text1"/>
        </w:rPr>
        <w:t>0</w:t>
      </w:r>
    </w:p>
    <w:p w14:paraId="4F94EA31" w14:textId="77777777" w:rsidR="003139DA" w:rsidRPr="00BE7F56" w:rsidRDefault="003139DA" w:rsidP="003139DA">
      <w:pPr>
        <w:spacing w:before="60" w:after="60"/>
        <w:rPr>
          <w:b/>
          <w:color w:val="000000" w:themeColor="text1"/>
        </w:rPr>
      </w:pPr>
      <w:r>
        <w:rPr>
          <w:color w:val="000000" w:themeColor="text1"/>
        </w:rPr>
        <w:t>RFP</w:t>
      </w:r>
      <w:r w:rsidRPr="00545032">
        <w:rPr>
          <w:color w:val="000000" w:themeColor="text1"/>
        </w:rPr>
        <w:t xml:space="preserve"> No:</w:t>
      </w:r>
      <w:r w:rsidRPr="00BE7F56">
        <w:rPr>
          <w:b/>
          <w:color w:val="000000" w:themeColor="text1"/>
        </w:rPr>
        <w:t xml:space="preserve"> </w:t>
      </w:r>
      <w:r>
        <w:rPr>
          <w:b/>
          <w:color w:val="000000" w:themeColor="text1"/>
        </w:rPr>
        <w:tab/>
      </w:r>
      <w:r>
        <w:rPr>
          <w:b/>
          <w:color w:val="000000" w:themeColor="text1"/>
        </w:rPr>
        <w:tab/>
      </w:r>
      <w:r w:rsidRPr="00BF50C0">
        <w:rPr>
          <w:i/>
          <w:color w:val="000000" w:themeColor="text1"/>
        </w:rPr>
        <w:t>WBTTF-ALB-112CDEF</w:t>
      </w:r>
    </w:p>
    <w:p w14:paraId="762C4CB1" w14:textId="77777777" w:rsidR="003139DA" w:rsidRDefault="003139DA" w:rsidP="003139DA">
      <w:pPr>
        <w:pStyle w:val="ListParagraph"/>
        <w:ind w:left="630"/>
        <w:rPr>
          <w:color w:val="000000"/>
          <w:spacing w:val="-2"/>
        </w:rPr>
      </w:pPr>
    </w:p>
    <w:p w14:paraId="1C8719F7" w14:textId="77777777" w:rsidR="003139DA" w:rsidRDefault="003139DA" w:rsidP="003139DA">
      <w:pPr>
        <w:pStyle w:val="ListParagraph"/>
        <w:ind w:left="0"/>
        <w:rPr>
          <w:rFonts w:ascii="Times" w:hAnsi="Times" w:cs="Times"/>
          <w:b/>
          <w:bCs/>
          <w:i/>
          <w:iCs/>
          <w:color w:val="000000"/>
          <w:szCs w:val="24"/>
          <w:u w:val="single"/>
        </w:rPr>
      </w:pPr>
      <w:r w:rsidRPr="00A729D0">
        <w:rPr>
          <w:rFonts w:ascii="Times" w:hAnsi="Times" w:cs="Times"/>
          <w:b/>
          <w:bCs/>
          <w:i/>
          <w:iCs/>
          <w:color w:val="000000"/>
          <w:szCs w:val="24"/>
          <w:u w:val="single"/>
        </w:rPr>
        <w:t>IMPORTANT NOTE</w:t>
      </w:r>
      <w:r w:rsidRPr="00A729D0">
        <w:rPr>
          <w:rFonts w:ascii="Times" w:hAnsi="Times" w:cs="Times"/>
          <w:i/>
          <w:iCs/>
          <w:color w:val="000000"/>
          <w:szCs w:val="24"/>
        </w:rPr>
        <w:t xml:space="preserve">: </w:t>
      </w:r>
      <w:r w:rsidRPr="00A729D0">
        <w:rPr>
          <w:rFonts w:ascii="Times" w:hAnsi="Times" w:cs="Times"/>
          <w:b/>
          <w:bCs/>
          <w:i/>
          <w:iCs/>
          <w:color w:val="000000"/>
          <w:szCs w:val="24"/>
          <w:u w:val="single"/>
        </w:rPr>
        <w:t xml:space="preserve">This request for Proposal is launched with a suspensive clause. The award and signing of the contract depend on the amendment of the loan agreement between </w:t>
      </w:r>
      <w:r w:rsidRPr="00A729D0">
        <w:rPr>
          <w:b/>
          <w:bCs/>
          <w:i/>
          <w:iCs/>
          <w:color w:val="000000"/>
          <w:spacing w:val="-2"/>
          <w:u w:val="single"/>
        </w:rPr>
        <w:t>World Bank and the Ministry of Finance.</w:t>
      </w:r>
      <w:r w:rsidRPr="00A729D0">
        <w:rPr>
          <w:color w:val="000000"/>
          <w:spacing w:val="-2"/>
        </w:rPr>
        <w:t xml:space="preserve"> </w:t>
      </w:r>
      <w:r w:rsidRPr="00A729D0">
        <w:rPr>
          <w:rFonts w:ascii="Times" w:hAnsi="Times" w:cs="Times"/>
          <w:b/>
          <w:bCs/>
          <w:i/>
          <w:iCs/>
          <w:color w:val="000000"/>
          <w:szCs w:val="24"/>
          <w:u w:val="single"/>
        </w:rPr>
        <w:t>If the amendment to the loan agreement is not signed, the procedure will have to be cancelled.</w:t>
      </w:r>
    </w:p>
    <w:p w14:paraId="05FBCF5B" w14:textId="77777777" w:rsidR="003139DA" w:rsidRPr="00487544" w:rsidRDefault="003139DA" w:rsidP="003139DA">
      <w:pPr>
        <w:pStyle w:val="ListParagraph"/>
        <w:ind w:left="630"/>
        <w:rPr>
          <w:color w:val="000000"/>
          <w:spacing w:val="-2"/>
        </w:rPr>
      </w:pPr>
    </w:p>
    <w:p w14:paraId="284E997F" w14:textId="77777777" w:rsidR="003139DA" w:rsidRPr="00A729D0" w:rsidRDefault="003139DA" w:rsidP="003139DA">
      <w:pPr>
        <w:pStyle w:val="ListParagraph"/>
        <w:numPr>
          <w:ilvl w:val="0"/>
          <w:numId w:val="1"/>
        </w:numPr>
        <w:ind w:left="630"/>
        <w:rPr>
          <w:color w:val="000000"/>
          <w:spacing w:val="-2"/>
        </w:rPr>
      </w:pPr>
      <w:r w:rsidRPr="00A729D0">
        <w:rPr>
          <w:color w:val="000000"/>
          <w:spacing w:val="-2"/>
        </w:rPr>
        <w:t xml:space="preserve">The Republic of Albania has received financing from the World Bank toward the cost of the Western Balkans Trade and Transport Facilitation Project and intends to apply part of the proceeds toward payments under the contract for Turnkey Solution of the Implementation National Single Window (NSW) Blueprint Contract conditional upon amendment of the loan agreement. </w:t>
      </w:r>
    </w:p>
    <w:p w14:paraId="6A6362E5" w14:textId="77777777" w:rsidR="003139DA" w:rsidRPr="00487544" w:rsidRDefault="003139DA" w:rsidP="003139DA">
      <w:pPr>
        <w:pStyle w:val="ListParagraph"/>
        <w:ind w:left="630"/>
        <w:rPr>
          <w:color w:val="000000"/>
          <w:spacing w:val="-2"/>
        </w:rPr>
      </w:pPr>
    </w:p>
    <w:p w14:paraId="01D5C928" w14:textId="77777777" w:rsidR="003139DA" w:rsidRPr="006F6A3C" w:rsidRDefault="003139DA" w:rsidP="003139DA">
      <w:pPr>
        <w:ind w:left="630" w:hanging="630"/>
        <w:rPr>
          <w:color w:val="000000"/>
          <w:spacing w:val="-2"/>
        </w:rPr>
      </w:pPr>
      <w:r w:rsidRPr="00BE7F56">
        <w:rPr>
          <w:color w:val="000000"/>
          <w:spacing w:val="-2"/>
        </w:rPr>
        <w:t xml:space="preserve">2. </w:t>
      </w:r>
      <w:r w:rsidRPr="00BE7F56">
        <w:rPr>
          <w:color w:val="000000"/>
          <w:spacing w:val="-2"/>
        </w:rPr>
        <w:tab/>
        <w:t xml:space="preserve">The </w:t>
      </w:r>
      <w:r w:rsidRPr="002A643C">
        <w:rPr>
          <w:color w:val="000000"/>
          <w:spacing w:val="-2"/>
        </w:rPr>
        <w:t>Ministry of Economy</w:t>
      </w:r>
      <w:r>
        <w:rPr>
          <w:color w:val="000000"/>
          <w:spacing w:val="-2"/>
        </w:rPr>
        <w:t xml:space="preserve">, </w:t>
      </w:r>
      <w:proofErr w:type="gramStart"/>
      <w:r>
        <w:rPr>
          <w:color w:val="000000"/>
          <w:spacing w:val="-2"/>
        </w:rPr>
        <w:t>Culture</w:t>
      </w:r>
      <w:proofErr w:type="gramEnd"/>
      <w:r>
        <w:rPr>
          <w:color w:val="000000"/>
          <w:spacing w:val="-2"/>
        </w:rPr>
        <w:t xml:space="preserve"> and Innovation </w:t>
      </w:r>
      <w:r w:rsidRPr="002A643C">
        <w:rPr>
          <w:color w:val="000000"/>
          <w:spacing w:val="-2"/>
        </w:rPr>
        <w:t>(</w:t>
      </w:r>
      <w:proofErr w:type="spellStart"/>
      <w:r>
        <w:rPr>
          <w:color w:val="000000"/>
          <w:spacing w:val="-2"/>
        </w:rPr>
        <w:t>MoECI</w:t>
      </w:r>
      <w:proofErr w:type="spellEnd"/>
      <w:r w:rsidRPr="002A643C">
        <w:rPr>
          <w:color w:val="000000"/>
          <w:spacing w:val="-2"/>
        </w:rPr>
        <w:t>) now</w:t>
      </w:r>
      <w:r w:rsidRPr="00BE7F56">
        <w:rPr>
          <w:color w:val="000000"/>
          <w:spacing w:val="-2"/>
        </w:rPr>
        <w:t xml:space="preserve"> invites sealed </w:t>
      </w:r>
      <w:r>
        <w:rPr>
          <w:color w:val="000000"/>
          <w:spacing w:val="-2"/>
        </w:rPr>
        <w:t>Proposal</w:t>
      </w:r>
      <w:r w:rsidRPr="00BE7F56">
        <w:rPr>
          <w:color w:val="000000"/>
          <w:spacing w:val="-2"/>
        </w:rPr>
        <w:t xml:space="preserve">s from eligible </w:t>
      </w:r>
      <w:r>
        <w:rPr>
          <w:color w:val="000000"/>
          <w:spacing w:val="-2"/>
        </w:rPr>
        <w:t xml:space="preserve">Proposers for the </w:t>
      </w:r>
      <w:r w:rsidRPr="002A643C">
        <w:rPr>
          <w:color w:val="000000"/>
          <w:spacing w:val="-2"/>
        </w:rPr>
        <w:t>Turnkey Solution of the Implementation National Single Window (NSW) Blueprint Contract</w:t>
      </w:r>
      <w:r w:rsidRPr="00BE7F56">
        <w:rPr>
          <w:color w:val="000000"/>
          <w:spacing w:val="-2"/>
        </w:rPr>
        <w:t>.</w:t>
      </w:r>
    </w:p>
    <w:p w14:paraId="0192AE78" w14:textId="77777777" w:rsidR="003139DA" w:rsidRDefault="003139DA" w:rsidP="003139DA">
      <w:pPr>
        <w:ind w:left="630" w:hanging="630"/>
        <w:rPr>
          <w:color w:val="000000"/>
          <w:spacing w:val="-2"/>
        </w:rPr>
      </w:pPr>
    </w:p>
    <w:p w14:paraId="733BE824" w14:textId="34F29AF4" w:rsidR="003139DA" w:rsidRDefault="003139DA" w:rsidP="003139D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szCs w:val="24"/>
        </w:rPr>
      </w:pPr>
      <w:r>
        <w:rPr>
          <w:spacing w:val="-2"/>
          <w:szCs w:val="24"/>
        </w:rPr>
        <w:t xml:space="preserve">           </w:t>
      </w:r>
      <w:r>
        <w:rPr>
          <w:spacing w:val="-2"/>
          <w:szCs w:val="24"/>
        </w:rPr>
        <w:t xml:space="preserve">The brief description of the NSW System include: </w:t>
      </w:r>
    </w:p>
    <w:p w14:paraId="5C45A6E7" w14:textId="77777777" w:rsidR="003139DA" w:rsidRDefault="003139DA" w:rsidP="003139D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szCs w:val="28"/>
        </w:rPr>
      </w:pPr>
      <w:r>
        <w:rPr>
          <w:sz w:val="23"/>
          <w:szCs w:val="23"/>
        </w:rPr>
        <w:tab/>
      </w:r>
      <w:r>
        <w:rPr>
          <w:szCs w:val="28"/>
        </w:rPr>
        <w:t xml:space="preserve">Albania is well positioned </w:t>
      </w:r>
      <w:proofErr w:type="gramStart"/>
      <w:r>
        <w:rPr>
          <w:szCs w:val="28"/>
        </w:rPr>
        <w:t>in the area of</w:t>
      </w:r>
      <w:proofErr w:type="gramEnd"/>
      <w:r>
        <w:rPr>
          <w:szCs w:val="28"/>
        </w:rPr>
        <w:t xml:space="preserve"> e-Government. The digital agenda and establishment of the National Agency for Information Society (NAIS) contributed to the availability of key infrastructure and services related to e-Government that can be re-used by the NSW. The e-Albania, the e-Government Network, electronic payment, electronic signatures/</w:t>
      </w:r>
      <w:proofErr w:type="gramStart"/>
      <w:r>
        <w:rPr>
          <w:szCs w:val="28"/>
        </w:rPr>
        <w:t>stamps</w:t>
      </w:r>
      <w:proofErr w:type="gramEnd"/>
      <w:r>
        <w:rPr>
          <w:szCs w:val="28"/>
        </w:rPr>
        <w:t xml:space="preserve"> and the Government Data Center are components that can facilitate the development and deployment of the NSW. </w:t>
      </w:r>
    </w:p>
    <w:p w14:paraId="7720E66C" w14:textId="77777777" w:rsidR="003139DA" w:rsidRDefault="003139DA" w:rsidP="003139D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szCs w:val="28"/>
        </w:rPr>
      </w:pPr>
      <w:r>
        <w:rPr>
          <w:szCs w:val="28"/>
        </w:rPr>
        <w:lastRenderedPageBreak/>
        <w:tab/>
        <w:t xml:space="preserve">In relation to cross-border trade procedures, the Cross Border Regulatory Agencies (CBRAs) are processing licenses, permits, certificates and other (LPCO) documents either by receiving the data and documents from the e-Albania portal, or by using paper-based and manual </w:t>
      </w:r>
      <w:proofErr w:type="gramStart"/>
      <w:r>
        <w:rPr>
          <w:szCs w:val="28"/>
        </w:rPr>
        <w:t>procedures</w:t>
      </w:r>
      <w:proofErr w:type="gramEnd"/>
    </w:p>
    <w:p w14:paraId="4434BCC3" w14:textId="77777777" w:rsidR="003139DA" w:rsidRDefault="003139DA" w:rsidP="003139D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sz w:val="23"/>
          <w:szCs w:val="23"/>
        </w:rPr>
      </w:pPr>
      <w:r>
        <w:rPr>
          <w:szCs w:val="28"/>
        </w:rPr>
        <w:tab/>
        <w:t xml:space="preserve">The NSW shall provide a single facility for traders to electronically submit regulated and harmonized data </w:t>
      </w:r>
      <w:proofErr w:type="gramStart"/>
      <w:r>
        <w:rPr>
          <w:szCs w:val="28"/>
        </w:rPr>
        <w:t>in order to</w:t>
      </w:r>
      <w:proofErr w:type="gramEnd"/>
      <w:r>
        <w:rPr>
          <w:szCs w:val="28"/>
        </w:rPr>
        <w:t xml:space="preserve"> complete foreign trade transactions. The NSW shall aggregate trade data in a single facility to enable full tracking and monitoring of transactions, for both trade and government institutions. This will lead to simplification of import, </w:t>
      </w:r>
      <w:proofErr w:type="gramStart"/>
      <w:r>
        <w:rPr>
          <w:szCs w:val="28"/>
        </w:rPr>
        <w:t>export</w:t>
      </w:r>
      <w:proofErr w:type="gramEnd"/>
      <w:r>
        <w:rPr>
          <w:szCs w:val="28"/>
        </w:rPr>
        <w:t xml:space="preserve"> and transit procedures, as well as cost savings, increased efficiency and transparency</w:t>
      </w:r>
      <w:r>
        <w:rPr>
          <w:sz w:val="23"/>
          <w:szCs w:val="23"/>
        </w:rPr>
        <w:t>.</w:t>
      </w:r>
    </w:p>
    <w:p w14:paraId="363A64AD" w14:textId="77777777" w:rsidR="003139DA" w:rsidRDefault="003139DA" w:rsidP="003139D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szCs w:val="24"/>
        </w:rPr>
      </w:pPr>
      <w:r>
        <w:rPr>
          <w:sz w:val="23"/>
          <w:szCs w:val="23"/>
        </w:rPr>
        <w:tab/>
      </w:r>
      <w:r>
        <w:rPr>
          <w:szCs w:val="24"/>
        </w:rPr>
        <w:t xml:space="preserve">The NSW is designed to act as a layer between the trading community and the CBRAs, providing coordinated and harmonized electronic processing of data </w:t>
      </w:r>
      <w:proofErr w:type="gramStart"/>
      <w:r>
        <w:rPr>
          <w:szCs w:val="24"/>
        </w:rPr>
        <w:t>in regard to</w:t>
      </w:r>
      <w:proofErr w:type="gramEnd"/>
      <w:r>
        <w:rPr>
          <w:szCs w:val="24"/>
        </w:rPr>
        <w:t xml:space="preserve"> cross border trade. It will include functionalities for processing of applications where required and act as a gateway in the situation where CBRAs have existing processing systems in place. As an example, customs declarations will be submitted to the NSW and forwarded to customs for processing in the customs declaration system, ASYCUDA. The NSW is designed to reuse existing investments and will provide CBRAs with better coordination, efficient use of resources, increased supply chain visibility and improved risk management.</w:t>
      </w:r>
    </w:p>
    <w:p w14:paraId="79350089" w14:textId="77777777" w:rsidR="003139DA" w:rsidRDefault="003139DA" w:rsidP="003139D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szCs w:val="24"/>
        </w:rPr>
      </w:pPr>
      <w:r>
        <w:rPr>
          <w:szCs w:val="24"/>
        </w:rPr>
        <w:tab/>
        <w:t>The NSW architecture defines the NSW services, provided by NSW components or modules that are interacting with each other and external systems/services to deliver value. The NSW components are supported by a technical infrastructure that shall ensure availability and scalability of the services.</w:t>
      </w:r>
    </w:p>
    <w:p w14:paraId="016270C0" w14:textId="77777777" w:rsidR="003139DA" w:rsidRPr="00BE7F56" w:rsidRDefault="003139DA" w:rsidP="003139D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rPr>
          <w:color w:val="000000"/>
          <w:spacing w:val="-2"/>
        </w:rPr>
      </w:pPr>
      <w:r>
        <w:rPr>
          <w:szCs w:val="24"/>
        </w:rPr>
        <w:t xml:space="preserve">Properly implemented, the single electronic facility and entry point provided by the NSW, will provide the traders and Albania with significantly enhanced trade facilitation measures through the alignment and coordination of CBRA requirements. The NSW will play a significant role in providing a harmonized model for cross-border related trade, through a single facility that is based on international standards. It will enable a fully electronic process where data is shared among the CBRAs, avoiding paper-based procedures. </w:t>
      </w:r>
      <w:r>
        <w:rPr>
          <w:color w:val="000000"/>
          <w:spacing w:val="-2"/>
        </w:rPr>
        <w:t xml:space="preserve">For more info please kindly refer to the </w:t>
      </w:r>
      <w:r>
        <w:rPr>
          <w:b/>
          <w:color w:val="000000"/>
          <w:spacing w:val="-2"/>
        </w:rPr>
        <w:t>Section VII - Requirements of the Information System</w:t>
      </w:r>
      <w:r>
        <w:rPr>
          <w:color w:val="000000"/>
          <w:spacing w:val="-2"/>
        </w:rPr>
        <w:t xml:space="preserve">. </w:t>
      </w:r>
    </w:p>
    <w:p w14:paraId="388C154C" w14:textId="77777777" w:rsidR="003139DA" w:rsidRPr="00BE7F56" w:rsidRDefault="003139DA" w:rsidP="003139DA">
      <w:pPr>
        <w:ind w:left="630" w:hanging="630"/>
        <w:rPr>
          <w:color w:val="000000"/>
          <w:spacing w:val="-2"/>
        </w:rPr>
      </w:pPr>
      <w:r w:rsidRPr="00BE7F56">
        <w:fldChar w:fldCharType="begin"/>
      </w:r>
      <w:r w:rsidRPr="00BE7F56">
        <w:instrText xml:space="preserve">  </w:instrText>
      </w:r>
      <w:r w:rsidRPr="00BE7F56">
        <w:fldChar w:fldCharType="end"/>
      </w:r>
      <w:r w:rsidRPr="00BE7F56">
        <w:rPr>
          <w:color w:val="000000"/>
          <w:spacing w:val="-2"/>
        </w:rPr>
        <w:t xml:space="preserve">3. </w:t>
      </w:r>
      <w:r w:rsidRPr="00BE7F56">
        <w:rPr>
          <w:color w:val="000000"/>
          <w:spacing w:val="-2"/>
        </w:rPr>
        <w:tab/>
      </w:r>
      <w:r>
        <w:rPr>
          <w:color w:val="000000"/>
          <w:spacing w:val="-2"/>
        </w:rPr>
        <w:t xml:space="preserve">The procurement process </w:t>
      </w:r>
      <w:r w:rsidRPr="00BE7F56">
        <w:rPr>
          <w:color w:val="000000"/>
          <w:spacing w:val="-2"/>
        </w:rPr>
        <w:t xml:space="preserve">will be conducted through </w:t>
      </w:r>
      <w:r w:rsidRPr="00BE7F56">
        <w:rPr>
          <w:color w:val="000000"/>
        </w:rPr>
        <w:t xml:space="preserve">international competitive procurement using Request for </w:t>
      </w:r>
      <w:r>
        <w:rPr>
          <w:color w:val="000000"/>
        </w:rPr>
        <w:t>Proposal</w:t>
      </w:r>
      <w:r w:rsidRPr="00BE7F56">
        <w:rPr>
          <w:color w:val="000000"/>
        </w:rPr>
        <w:t>s (</w:t>
      </w:r>
      <w:r>
        <w:rPr>
          <w:color w:val="000000"/>
        </w:rPr>
        <w:t>RFP</w:t>
      </w:r>
      <w:r w:rsidRPr="00BE7F56">
        <w:rPr>
          <w:color w:val="000000"/>
        </w:rPr>
        <w:t xml:space="preserve">) </w:t>
      </w:r>
      <w:r w:rsidRPr="00BE7F56">
        <w:rPr>
          <w:color w:val="000000"/>
          <w:spacing w:val="-2"/>
        </w:rPr>
        <w:t>as specified in the World Bank’s “</w:t>
      </w:r>
      <w:hyperlink r:id="rId5" w:history="1">
        <w:r w:rsidRPr="00BE7F56">
          <w:rPr>
            <w:color w:val="000000"/>
            <w:spacing w:val="-2"/>
          </w:rPr>
          <w:t>Procurement</w:t>
        </w:r>
      </w:hyperlink>
      <w:r w:rsidRPr="00BE7F56">
        <w:rPr>
          <w:color w:val="000000"/>
        </w:rPr>
        <w:t xml:space="preserve"> Regulations for IPF Borrowers”</w:t>
      </w:r>
      <w:r w:rsidRPr="00BE7F56">
        <w:rPr>
          <w:color w:val="000000"/>
          <w:spacing w:val="-2"/>
        </w:rPr>
        <w:t xml:space="preserve"> </w:t>
      </w:r>
      <w:r w:rsidRPr="002A643C">
        <w:rPr>
          <w:i/>
          <w:color w:val="000000"/>
          <w:spacing w:val="-2"/>
        </w:rPr>
        <w:t>dated July 2016, revised November 2017 and August 2018 (“Procurement Regulations”)</w:t>
      </w:r>
      <w:r w:rsidRPr="00BE7F56">
        <w:rPr>
          <w:color w:val="000000"/>
          <w:spacing w:val="-2"/>
        </w:rPr>
        <w:t xml:space="preserve"> (“Procurement Regulations”), and is open to all eligible </w:t>
      </w:r>
      <w:r>
        <w:rPr>
          <w:color w:val="000000"/>
          <w:spacing w:val="-2"/>
        </w:rPr>
        <w:t>Proposer</w:t>
      </w:r>
      <w:r w:rsidRPr="00BE7F56">
        <w:rPr>
          <w:color w:val="000000"/>
          <w:spacing w:val="-2"/>
        </w:rPr>
        <w:t xml:space="preserve">s as defined in the Procurement Regulations. </w:t>
      </w:r>
      <w:r>
        <w:rPr>
          <w:color w:val="000000"/>
          <w:spacing w:val="-2"/>
        </w:rPr>
        <w:t xml:space="preserve"> </w:t>
      </w:r>
    </w:p>
    <w:p w14:paraId="7119CA24" w14:textId="77777777" w:rsidR="003139DA" w:rsidRDefault="003139DA" w:rsidP="003139DA">
      <w:pPr>
        <w:ind w:left="630" w:hanging="630"/>
        <w:rPr>
          <w:i/>
          <w:color w:val="000000"/>
          <w:spacing w:val="-2"/>
        </w:rPr>
      </w:pPr>
      <w:r w:rsidRPr="00BE7F56">
        <w:rPr>
          <w:color w:val="000000"/>
          <w:spacing w:val="-2"/>
        </w:rPr>
        <w:t xml:space="preserve">4. </w:t>
      </w:r>
      <w:r w:rsidRPr="00BE7F56">
        <w:rPr>
          <w:color w:val="000000"/>
          <w:spacing w:val="-2"/>
        </w:rPr>
        <w:tab/>
        <w:t xml:space="preserve">Interested eligible </w:t>
      </w:r>
      <w:r>
        <w:rPr>
          <w:color w:val="000000"/>
          <w:spacing w:val="-2"/>
        </w:rPr>
        <w:t>Proposer</w:t>
      </w:r>
      <w:r w:rsidRPr="00BE7F56">
        <w:rPr>
          <w:color w:val="000000"/>
          <w:spacing w:val="-2"/>
        </w:rPr>
        <w:t xml:space="preserve">s may obtain further information from </w:t>
      </w:r>
      <w:r>
        <w:rPr>
          <w:color w:val="000000"/>
          <w:spacing w:val="-2"/>
        </w:rPr>
        <w:t xml:space="preserve">the Ministry of Finance and inspect the bidding document during office hours </w:t>
      </w:r>
      <w:r>
        <w:rPr>
          <w:i/>
          <w:color w:val="000000"/>
          <w:spacing w:val="-2"/>
        </w:rPr>
        <w:t xml:space="preserve">08:00-16:30 </w:t>
      </w:r>
      <w:r>
        <w:rPr>
          <w:color w:val="000000"/>
          <w:spacing w:val="-2"/>
        </w:rPr>
        <w:t>at the address given below.</w:t>
      </w:r>
    </w:p>
    <w:p w14:paraId="056CC1F7" w14:textId="77777777" w:rsidR="003139DA" w:rsidRDefault="003139DA" w:rsidP="003139DA">
      <w:pPr>
        <w:ind w:left="630" w:hanging="630"/>
        <w:rPr>
          <w:i/>
          <w:color w:val="000000"/>
          <w:spacing w:val="-2"/>
        </w:rPr>
      </w:pPr>
      <w:r w:rsidRPr="00BE7F56">
        <w:rPr>
          <w:color w:val="000000"/>
          <w:spacing w:val="-2"/>
        </w:rPr>
        <w:t xml:space="preserve">5. </w:t>
      </w:r>
      <w:r w:rsidRPr="00BE7F56">
        <w:rPr>
          <w:color w:val="000000"/>
          <w:spacing w:val="-2"/>
        </w:rPr>
        <w:tab/>
        <w:t xml:space="preserve">The </w:t>
      </w:r>
      <w:r>
        <w:rPr>
          <w:color w:val="000000"/>
          <w:spacing w:val="-2"/>
        </w:rPr>
        <w:t xml:space="preserve">request for proposals </w:t>
      </w:r>
      <w:r w:rsidRPr="00BE7F56">
        <w:rPr>
          <w:color w:val="000000"/>
          <w:spacing w:val="-2"/>
        </w:rPr>
        <w:t xml:space="preserve">document </w:t>
      </w:r>
      <w:r>
        <w:rPr>
          <w:color w:val="000000"/>
          <w:spacing w:val="-2"/>
        </w:rPr>
        <w:t xml:space="preserve">in </w:t>
      </w:r>
      <w:r w:rsidRPr="008C3D06">
        <w:rPr>
          <w:b/>
          <w:bCs/>
          <w:color w:val="000000"/>
          <w:spacing w:val="-2"/>
        </w:rPr>
        <w:t>English</w:t>
      </w:r>
      <w:r w:rsidRPr="00BE7F56">
        <w:rPr>
          <w:color w:val="000000"/>
          <w:spacing w:val="-2"/>
        </w:rPr>
        <w:t xml:space="preserve"> may be purchased by interested eligible </w:t>
      </w:r>
      <w:r>
        <w:rPr>
          <w:color w:val="000000"/>
          <w:spacing w:val="-2"/>
        </w:rPr>
        <w:t>Proposer</w:t>
      </w:r>
      <w:r w:rsidRPr="00BE7F56">
        <w:rPr>
          <w:color w:val="000000"/>
          <w:spacing w:val="-2"/>
        </w:rPr>
        <w:t xml:space="preserve">s upon the submission of a written application to the address below and upon payment of a nonrefundable fee of </w:t>
      </w:r>
      <w:r>
        <w:rPr>
          <w:i/>
          <w:color w:val="000000"/>
          <w:spacing w:val="-2"/>
        </w:rPr>
        <w:t>100 Euro.</w:t>
      </w:r>
      <w:r>
        <w:rPr>
          <w:color w:val="000000"/>
          <w:spacing w:val="-2"/>
        </w:rPr>
        <w:t xml:space="preserve"> The method of payment will be </w:t>
      </w:r>
      <w:r>
        <w:rPr>
          <w:i/>
          <w:color w:val="000000"/>
          <w:spacing w:val="-2"/>
        </w:rPr>
        <w:t>direct deposit to the following account number:</w:t>
      </w:r>
    </w:p>
    <w:p w14:paraId="03973194" w14:textId="77777777" w:rsidR="003139DA" w:rsidRDefault="003139DA" w:rsidP="003139DA">
      <w:pPr>
        <w:ind w:left="630" w:hanging="630"/>
        <w:rPr>
          <w:i/>
          <w:color w:val="000000"/>
          <w:spacing w:val="-2"/>
        </w:rPr>
      </w:pPr>
    </w:p>
    <w:p w14:paraId="3859D003" w14:textId="77777777" w:rsidR="003139DA" w:rsidRDefault="003139DA" w:rsidP="003139DA">
      <w:pPr>
        <w:ind w:left="2340" w:hanging="1710"/>
        <w:rPr>
          <w:i/>
          <w:color w:val="000000"/>
          <w:spacing w:val="-2"/>
        </w:rPr>
      </w:pPr>
      <w:r>
        <w:rPr>
          <w:i/>
          <w:color w:val="000000"/>
          <w:spacing w:val="-2"/>
        </w:rPr>
        <w:lastRenderedPageBreak/>
        <w:t xml:space="preserve">Account name: LEHTESIMI I TREGTISE DHE TRANSPORTIT NE BALLKANIN PERENDIMOR </w:t>
      </w:r>
    </w:p>
    <w:p w14:paraId="688DCE2A" w14:textId="77777777" w:rsidR="003139DA" w:rsidRDefault="003139DA" w:rsidP="003139DA">
      <w:pPr>
        <w:ind w:left="2340" w:hanging="1710"/>
        <w:rPr>
          <w:i/>
          <w:color w:val="000000"/>
          <w:spacing w:val="-2"/>
        </w:rPr>
      </w:pPr>
      <w:r>
        <w:rPr>
          <w:i/>
          <w:color w:val="000000"/>
          <w:spacing w:val="-2"/>
        </w:rPr>
        <w:t>Beneficiary bank: AMERICAN BANK OF INVESTMENTS</w:t>
      </w:r>
    </w:p>
    <w:p w14:paraId="232B219D" w14:textId="77777777" w:rsidR="003139DA" w:rsidRDefault="003139DA" w:rsidP="003139DA">
      <w:pPr>
        <w:ind w:left="2340" w:hanging="1800"/>
        <w:rPr>
          <w:i/>
          <w:color w:val="000000"/>
          <w:spacing w:val="-2"/>
          <w:lang w:val="it-IT"/>
        </w:rPr>
      </w:pPr>
      <w:r w:rsidRPr="00595308">
        <w:rPr>
          <w:i/>
          <w:color w:val="000000"/>
          <w:spacing w:val="-2"/>
          <w:lang w:val="en-GB"/>
        </w:rPr>
        <w:t xml:space="preserve"> </w:t>
      </w:r>
      <w:r>
        <w:rPr>
          <w:i/>
          <w:color w:val="000000"/>
          <w:spacing w:val="-2"/>
          <w:lang w:val="it-IT"/>
        </w:rPr>
        <w:t>Bank address:</w:t>
      </w:r>
      <w:r>
        <w:rPr>
          <w:i/>
          <w:color w:val="000000"/>
          <w:spacing w:val="-2"/>
          <w:lang w:val="it-IT"/>
        </w:rPr>
        <w:tab/>
        <w:t>Rruga e Kavajes, Nd. 27, H.1, Nj.B. 10, K.P. 1001, Tirana, Albani</w:t>
      </w:r>
      <w:r>
        <w:rPr>
          <w:i/>
          <w:color w:val="000000"/>
          <w:spacing w:val="-2"/>
          <w:lang w:val="it-IT"/>
        </w:rPr>
        <w:tab/>
      </w:r>
    </w:p>
    <w:p w14:paraId="48B53D48" w14:textId="77777777" w:rsidR="003139DA" w:rsidRPr="00FB61CF" w:rsidRDefault="003139DA" w:rsidP="003139DA">
      <w:pPr>
        <w:ind w:left="2340" w:hanging="1710"/>
        <w:rPr>
          <w:i/>
          <w:color w:val="000000"/>
          <w:spacing w:val="-2"/>
          <w:lang w:val="es-ES"/>
        </w:rPr>
      </w:pPr>
      <w:r w:rsidRPr="00FB61CF">
        <w:rPr>
          <w:i/>
          <w:color w:val="000000"/>
          <w:spacing w:val="-2"/>
          <w:lang w:val="es-ES"/>
        </w:rPr>
        <w:t>IBAN no.:</w:t>
      </w:r>
      <w:r w:rsidRPr="00FB61CF">
        <w:rPr>
          <w:i/>
          <w:color w:val="000000"/>
          <w:spacing w:val="-2"/>
          <w:lang w:val="es-ES"/>
        </w:rPr>
        <w:tab/>
        <w:t>AL54 2101 1012 0000 0000 0235 2227</w:t>
      </w:r>
    </w:p>
    <w:p w14:paraId="6BFCC44D" w14:textId="77777777" w:rsidR="003139DA" w:rsidRDefault="003139DA" w:rsidP="003139DA">
      <w:pPr>
        <w:ind w:left="2340" w:hanging="1710"/>
        <w:rPr>
          <w:i/>
          <w:color w:val="000000"/>
          <w:spacing w:val="-2"/>
        </w:rPr>
      </w:pPr>
      <w:r>
        <w:rPr>
          <w:i/>
          <w:color w:val="000000"/>
          <w:spacing w:val="-2"/>
        </w:rPr>
        <w:t>SWIFT code:</w:t>
      </w:r>
      <w:r>
        <w:rPr>
          <w:i/>
          <w:color w:val="000000"/>
          <w:spacing w:val="-2"/>
        </w:rPr>
        <w:tab/>
        <w:t>EMPOALTRXXX</w:t>
      </w:r>
    </w:p>
    <w:p w14:paraId="3955571D" w14:textId="77777777" w:rsidR="003139DA" w:rsidRDefault="003139DA" w:rsidP="003139DA">
      <w:pPr>
        <w:ind w:left="2340" w:hanging="1710"/>
        <w:rPr>
          <w:i/>
          <w:color w:val="000000"/>
          <w:spacing w:val="-2"/>
        </w:rPr>
      </w:pPr>
    </w:p>
    <w:p w14:paraId="5B03B34F" w14:textId="2C75103F" w:rsidR="003139DA" w:rsidRDefault="003139DA" w:rsidP="003139DA">
      <w:pPr>
        <w:ind w:left="630" w:hanging="630"/>
        <w:rPr>
          <w:color w:val="000000"/>
          <w:spacing w:val="-2"/>
        </w:rPr>
      </w:pPr>
      <w:r>
        <w:rPr>
          <w:color w:val="000000"/>
          <w:spacing w:val="-2"/>
        </w:rPr>
        <w:t xml:space="preserve">           </w:t>
      </w:r>
      <w:r w:rsidRPr="00A729D0">
        <w:rPr>
          <w:color w:val="000000"/>
          <w:spacing w:val="-2"/>
        </w:rPr>
        <w:t>The document will be sent by</w:t>
      </w:r>
      <w:r w:rsidRPr="00A729D0">
        <w:rPr>
          <w:i/>
          <w:color w:val="000000"/>
          <w:spacing w:val="-2"/>
        </w:rPr>
        <w:t xml:space="preserve"> e-mail</w:t>
      </w:r>
      <w:r w:rsidRPr="00A729D0">
        <w:rPr>
          <w:color w:val="000000"/>
          <w:spacing w:val="-2"/>
        </w:rPr>
        <w:t>.</w:t>
      </w:r>
    </w:p>
    <w:p w14:paraId="6B4AB5D2" w14:textId="77777777" w:rsidR="003139DA" w:rsidRPr="00A729D0" w:rsidRDefault="003139DA" w:rsidP="003139DA">
      <w:pPr>
        <w:ind w:left="630" w:hanging="630"/>
        <w:rPr>
          <w:color w:val="000000"/>
          <w:spacing w:val="-2"/>
        </w:rPr>
      </w:pPr>
    </w:p>
    <w:p w14:paraId="3802C8EC" w14:textId="77777777" w:rsidR="003139DA" w:rsidRPr="00BE7F56" w:rsidRDefault="003139DA" w:rsidP="003139D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color w:val="000000"/>
          <w:spacing w:val="-2"/>
        </w:rPr>
      </w:pPr>
      <w:r w:rsidRPr="00A729D0">
        <w:rPr>
          <w:color w:val="000000"/>
          <w:spacing w:val="-2"/>
        </w:rPr>
        <w:t xml:space="preserve">6. </w:t>
      </w:r>
      <w:r w:rsidRPr="00A729D0">
        <w:rPr>
          <w:color w:val="000000"/>
          <w:spacing w:val="-2"/>
        </w:rPr>
        <w:tab/>
        <w:t xml:space="preserve">Proposals must be delivered to the address below on or before </w:t>
      </w:r>
      <w:r w:rsidRPr="00A729D0">
        <w:rPr>
          <w:i/>
          <w:color w:val="000000"/>
          <w:spacing w:val="-2"/>
        </w:rPr>
        <w:t>December 10, 2024, at 13:00.</w:t>
      </w:r>
      <w:r w:rsidRPr="00A729D0">
        <w:rPr>
          <w:color w:val="000000"/>
        </w:rPr>
        <w:t xml:space="preserve"> Electronic procurement </w:t>
      </w:r>
      <w:r w:rsidRPr="00A729D0">
        <w:rPr>
          <w:b/>
          <w:i/>
          <w:iCs/>
          <w:color w:val="000000"/>
        </w:rPr>
        <w:t>will not</w:t>
      </w:r>
      <w:r w:rsidRPr="00A729D0">
        <w:rPr>
          <w:color w:val="000000"/>
        </w:rPr>
        <w:t xml:space="preserve"> be permitted.</w:t>
      </w:r>
      <w:r w:rsidRPr="00A729D0">
        <w:rPr>
          <w:color w:val="000000"/>
          <w:spacing w:val="-2"/>
        </w:rPr>
        <w:t xml:space="preserve"> Late Proposals will be rejected. </w:t>
      </w:r>
      <w:r w:rsidRPr="00A729D0">
        <w:rPr>
          <w:spacing w:val="-2"/>
        </w:rPr>
        <w:t xml:space="preserve">The outer Proposal envelopes marked “ORIGINAL PROPOSAL”, and the inner envelopes marked “TECHNICAL PART” will be publicly opened in the presence of the Proposers’ designated representatives and anyone who chooses to attend, at the address below on </w:t>
      </w:r>
      <w:r w:rsidRPr="00A729D0">
        <w:rPr>
          <w:i/>
          <w:spacing w:val="-2"/>
        </w:rPr>
        <w:t xml:space="preserve">December 10, 2024, at 13:10. </w:t>
      </w:r>
      <w:r w:rsidRPr="00A729D0">
        <w:rPr>
          <w:spacing w:val="-2"/>
        </w:rPr>
        <w:t>All envelopes marked “FINANCIAL PART” shall remain unopened and will be held in safe custody of the Purchaser until the second public Proposals opening</w:t>
      </w:r>
      <w:r w:rsidRPr="00A729D0">
        <w:rPr>
          <w:color w:val="000000"/>
          <w:spacing w:val="-2"/>
        </w:rPr>
        <w:t>.</w:t>
      </w:r>
      <w:r w:rsidRPr="00BE7F56">
        <w:rPr>
          <w:color w:val="000000"/>
          <w:spacing w:val="-2"/>
          <w:vertAlign w:val="superscript"/>
        </w:rPr>
        <w:t xml:space="preserve"> </w:t>
      </w:r>
    </w:p>
    <w:p w14:paraId="5DE2DCCD" w14:textId="509C5D97" w:rsidR="003139DA" w:rsidRPr="00D80EDB" w:rsidRDefault="003139DA" w:rsidP="003139D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color w:val="000000"/>
          <w:spacing w:val="-2"/>
        </w:rPr>
      </w:pPr>
      <w:r w:rsidRPr="00BE7F56">
        <w:rPr>
          <w:color w:val="000000"/>
          <w:spacing w:val="-2"/>
        </w:rPr>
        <w:t xml:space="preserve">7. </w:t>
      </w:r>
      <w:r>
        <w:rPr>
          <w:color w:val="000000"/>
          <w:spacing w:val="-2"/>
        </w:rPr>
        <w:t xml:space="preserve">      </w:t>
      </w:r>
      <w:r w:rsidRPr="00773D69">
        <w:rPr>
          <w:color w:val="000000"/>
          <w:spacing w:val="-2"/>
        </w:rPr>
        <w:t>All Proposals must be accompanied by a</w:t>
      </w:r>
      <w:r w:rsidRPr="00773D69">
        <w:rPr>
          <w:iCs/>
          <w:color w:val="000000"/>
          <w:spacing w:val="-2"/>
        </w:rPr>
        <w:t xml:space="preserve"> Proposal-Securing Declaration</w:t>
      </w:r>
      <w:r w:rsidRPr="00773D69">
        <w:rPr>
          <w:color w:val="000000" w:themeColor="text1"/>
          <w:spacing w:val="-2"/>
        </w:rPr>
        <w:t>.</w:t>
      </w:r>
    </w:p>
    <w:p w14:paraId="633D80DB" w14:textId="77777777" w:rsidR="003139DA" w:rsidRPr="00EE79A1" w:rsidRDefault="003139DA" w:rsidP="003139D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bCs/>
          <w:iCs/>
          <w:spacing w:val="-2"/>
        </w:rPr>
      </w:pPr>
      <w:r w:rsidRPr="00BE7F56">
        <w:rPr>
          <w:iCs/>
          <w:color w:val="000000"/>
          <w:spacing w:val="-2"/>
        </w:rPr>
        <w:t>8.</w:t>
      </w:r>
      <w:r w:rsidRPr="00BE7F56">
        <w:rPr>
          <w:iCs/>
          <w:color w:val="000000"/>
          <w:spacing w:val="-2"/>
        </w:rPr>
        <w:tab/>
      </w:r>
      <w:r w:rsidRPr="00EE79A1">
        <w:rPr>
          <w:bCs/>
          <w:iCs/>
          <w:spacing w:val="-2"/>
        </w:rPr>
        <w:t xml:space="preserve">Attention is drawn to the Procurement Regulations requiring the Borrower to disclose information on the successful </w:t>
      </w:r>
      <w:r>
        <w:rPr>
          <w:bCs/>
          <w:iCs/>
          <w:spacing w:val="-2"/>
        </w:rPr>
        <w:t>Proposer</w:t>
      </w:r>
      <w:r w:rsidRPr="00EE79A1">
        <w:rPr>
          <w:bCs/>
          <w:iCs/>
          <w:spacing w:val="-2"/>
        </w:rPr>
        <w:t>’s beneficial ownership, as part of the</w:t>
      </w:r>
      <w:r w:rsidRPr="00545032">
        <w:rPr>
          <w:b/>
          <w:spacing w:val="-2"/>
        </w:rPr>
        <w:t xml:space="preserve"> </w:t>
      </w:r>
      <w:r w:rsidRPr="00EE79A1">
        <w:rPr>
          <w:bCs/>
          <w:iCs/>
          <w:spacing w:val="-2"/>
        </w:rPr>
        <w:t xml:space="preserve">Contract Award Notice, using the Beneficial Ownership Disclosure Form as included in the </w:t>
      </w:r>
      <w:r>
        <w:rPr>
          <w:bCs/>
          <w:iCs/>
          <w:spacing w:val="-2"/>
        </w:rPr>
        <w:t>request for proposal</w:t>
      </w:r>
      <w:r w:rsidRPr="00EE79A1">
        <w:rPr>
          <w:bCs/>
          <w:iCs/>
          <w:spacing w:val="-2"/>
        </w:rPr>
        <w:t xml:space="preserve"> document.</w:t>
      </w:r>
    </w:p>
    <w:p w14:paraId="49855056" w14:textId="77777777" w:rsidR="003139DA" w:rsidRPr="00740211" w:rsidRDefault="003139DA" w:rsidP="003139DA">
      <w:pPr>
        <w:ind w:left="630" w:hanging="630"/>
        <w:rPr>
          <w:i/>
          <w:color w:val="000000"/>
        </w:rPr>
      </w:pPr>
      <w:r>
        <w:rPr>
          <w:iCs/>
          <w:color w:val="000000"/>
          <w:spacing w:val="-2"/>
        </w:rPr>
        <w:t>9.</w:t>
      </w:r>
      <w:r>
        <w:rPr>
          <w:iCs/>
          <w:color w:val="000000"/>
          <w:spacing w:val="-2"/>
        </w:rPr>
        <w:tab/>
      </w:r>
      <w:r w:rsidRPr="00BE7F56">
        <w:rPr>
          <w:iCs/>
          <w:color w:val="000000"/>
        </w:rPr>
        <w:t xml:space="preserve">The address (es) referred to above is (are): </w:t>
      </w:r>
    </w:p>
    <w:p w14:paraId="1A67D9F9" w14:textId="77777777" w:rsidR="003139DA" w:rsidRDefault="003139DA" w:rsidP="003139DA">
      <w:pPr>
        <w:spacing w:after="0"/>
        <w:ind w:left="630"/>
        <w:rPr>
          <w:i/>
        </w:rPr>
      </w:pPr>
      <w:r>
        <w:rPr>
          <w:i/>
        </w:rPr>
        <w:t>General Directorate for Financing and Contracting for EU, World Bank and Other Donor Funds, Protocol Office No</w:t>
      </w:r>
      <w:r w:rsidRPr="001D4FE7">
        <w:rPr>
          <w:i/>
        </w:rPr>
        <w:t>.331, 3</w:t>
      </w:r>
      <w:r w:rsidRPr="001D4FE7">
        <w:rPr>
          <w:i/>
          <w:vertAlign w:val="superscript"/>
        </w:rPr>
        <w:t>rd</w:t>
      </w:r>
      <w:r w:rsidRPr="001D4FE7">
        <w:rPr>
          <w:i/>
        </w:rPr>
        <w:t xml:space="preserve"> Floor, Ministry of Finance</w:t>
      </w:r>
      <w:r>
        <w:rPr>
          <w:i/>
        </w:rPr>
        <w:t>.</w:t>
      </w:r>
    </w:p>
    <w:p w14:paraId="1D21DA0F" w14:textId="77777777" w:rsidR="003139DA" w:rsidRDefault="003139DA" w:rsidP="003139DA">
      <w:pPr>
        <w:spacing w:after="0"/>
        <w:ind w:left="630"/>
        <w:rPr>
          <w:i/>
        </w:rPr>
      </w:pPr>
      <w:r>
        <w:rPr>
          <w:i/>
        </w:rPr>
        <w:t xml:space="preserve">Mrs. Veronika Korkaj, General Director. </w:t>
      </w:r>
    </w:p>
    <w:p w14:paraId="36B7388F" w14:textId="77777777" w:rsidR="003139DA" w:rsidRDefault="003139DA" w:rsidP="003139DA">
      <w:pPr>
        <w:spacing w:after="0"/>
        <w:ind w:left="630"/>
        <w:rPr>
          <w:i/>
          <w:iCs/>
          <w:spacing w:val="-2"/>
          <w:lang w:val="it-IT"/>
        </w:rPr>
      </w:pPr>
      <w:proofErr w:type="spellStart"/>
      <w:r w:rsidRPr="00287F4C">
        <w:rPr>
          <w:i/>
          <w:lang w:val="es-ES"/>
        </w:rPr>
        <w:t>Blvd</w:t>
      </w:r>
      <w:proofErr w:type="spellEnd"/>
      <w:r w:rsidRPr="00287F4C">
        <w:rPr>
          <w:i/>
          <w:lang w:val="es-ES"/>
        </w:rPr>
        <w:t xml:space="preserve">. </w:t>
      </w:r>
      <w:r>
        <w:rPr>
          <w:i/>
          <w:lang w:val="it-IT"/>
        </w:rPr>
        <w:t>Deshmoret e Kombit, No. 3, 1001, Tirana, Albania</w:t>
      </w:r>
    </w:p>
    <w:p w14:paraId="2E0187E3" w14:textId="77777777" w:rsidR="003139DA" w:rsidRPr="00595308" w:rsidRDefault="003139DA" w:rsidP="003139DA">
      <w:pPr>
        <w:tabs>
          <w:tab w:val="left" w:pos="2610"/>
        </w:tabs>
        <w:spacing w:after="0"/>
        <w:ind w:left="630"/>
        <w:rPr>
          <w:i/>
          <w:lang w:val="en-GB"/>
        </w:rPr>
      </w:pPr>
      <w:hyperlink r:id="rId6" w:history="1">
        <w:r w:rsidRPr="00595308">
          <w:rPr>
            <w:rStyle w:val="Hyperlink"/>
            <w:i/>
            <w:lang w:val="en-GB"/>
          </w:rPr>
          <w:t>veronika.korkaj@financa.gov.al</w:t>
        </w:r>
      </w:hyperlink>
      <w:r w:rsidRPr="00595308">
        <w:rPr>
          <w:i/>
          <w:lang w:val="en-GB"/>
        </w:rPr>
        <w:t xml:space="preserve"> </w:t>
      </w:r>
    </w:p>
    <w:p w14:paraId="7F35626A" w14:textId="77777777" w:rsidR="00BE6E42" w:rsidRDefault="00BE6E42"/>
    <w:sectPr w:rsidR="00B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214D1"/>
    <w:multiLevelType w:val="hybridMultilevel"/>
    <w:tmpl w:val="88E2E598"/>
    <w:lvl w:ilvl="0" w:tplc="F15E3BA4">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6519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84"/>
    <w:rsid w:val="0008294F"/>
    <w:rsid w:val="003139DA"/>
    <w:rsid w:val="00547E81"/>
    <w:rsid w:val="00857B84"/>
    <w:rsid w:val="00B22F51"/>
    <w:rsid w:val="00BE6E42"/>
    <w:rsid w:val="00DF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6DE8"/>
  <w15:chartTrackingRefBased/>
  <w15:docId w15:val="{87FD13A9-BD1D-45B9-99A2-53A54928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B84"/>
    <w:pPr>
      <w:suppressAutoHyphens/>
      <w:spacing w:after="12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57B84"/>
    <w:rPr>
      <w:color w:val="0000FF"/>
      <w:u w:val="single"/>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Normal bullet 2"/>
    <w:basedOn w:val="Normal"/>
    <w:link w:val="ListParagraphChar"/>
    <w:uiPriority w:val="34"/>
    <w:qFormat/>
    <w:rsid w:val="00857B84"/>
    <w:pPr>
      <w:ind w:left="720"/>
      <w:contextualSpacing/>
    </w:p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link w:val="ListParagraph"/>
    <w:uiPriority w:val="34"/>
    <w:qFormat/>
    <w:locked/>
    <w:rsid w:val="00857B8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ronika.korkaj@financa.gov.al" TargetMode="External"/><Relationship Id="rId5" Type="http://schemas.openxmlformats.org/officeDocument/2006/relationships/hyperlink" Target="http://www.worldbank.org/html/opr/procure/guideli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Marlind Nuriu</dc:creator>
  <cp:keywords/>
  <dc:description/>
  <cp:lastModifiedBy>Marlind Nuriu</cp:lastModifiedBy>
  <cp:revision>3</cp:revision>
  <dcterms:created xsi:type="dcterms:W3CDTF">2024-10-11T09:36:00Z</dcterms:created>
  <dcterms:modified xsi:type="dcterms:W3CDTF">2024-10-11T11:08:00Z</dcterms:modified>
</cp:coreProperties>
</file>